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6E2D52CD" w:rsidR="00AE6213" w:rsidRPr="00523E13" w:rsidRDefault="00967F8A" w:rsidP="00AE6213">
      <w:pPr>
        <w:pStyle w:val="3GPPHeader"/>
        <w:spacing w:after="60"/>
        <w:rPr>
          <w:sz w:val="32"/>
          <w:szCs w:val="32"/>
        </w:rPr>
      </w:pPr>
      <w:r w:rsidRPr="00C91713">
        <w:t xml:space="preserve">3GPP TSG-RAN WG2 </w:t>
      </w:r>
      <w:r w:rsidR="00452041" w:rsidRPr="00C91713">
        <w:t>NR-Ah</w:t>
      </w:r>
      <w:r w:rsidRPr="00C91713">
        <w:t>#</w:t>
      </w:r>
      <w:r w:rsidR="00B76088" w:rsidRPr="00C91713">
        <w:t>1</w:t>
      </w:r>
      <w:r w:rsidR="00452041" w:rsidRPr="00C91713">
        <w:t>8</w:t>
      </w:r>
      <w:r w:rsidR="00B76088" w:rsidRPr="00C91713">
        <w:t>0</w:t>
      </w:r>
      <w:r w:rsidR="00452041" w:rsidRPr="00C91713">
        <w:t>1</w:t>
      </w:r>
      <w:r w:rsidRPr="00C91713">
        <w:tab/>
      </w:r>
      <w:r w:rsidRPr="00523E13">
        <w:rPr>
          <w:sz w:val="32"/>
          <w:szCs w:val="32"/>
        </w:rPr>
        <w:t xml:space="preserve">Tdoc </w:t>
      </w:r>
      <w:bookmarkStart w:id="0" w:name="_GoBack"/>
      <w:r w:rsidR="00523E13" w:rsidRPr="00523E13">
        <w:rPr>
          <w:sz w:val="32"/>
          <w:szCs w:val="32"/>
        </w:rPr>
        <w:t>R2-1801311</w:t>
      </w:r>
      <w:bookmarkEnd w:id="0"/>
    </w:p>
    <w:p w14:paraId="6AD30680" w14:textId="286773C7" w:rsidR="00967F8A" w:rsidRPr="00C91713" w:rsidRDefault="00452041" w:rsidP="00AE6213">
      <w:pPr>
        <w:pStyle w:val="3GPPHeader"/>
        <w:spacing w:after="60"/>
        <w:rPr>
          <w:b w:val="0"/>
          <w:noProof/>
        </w:rPr>
      </w:pPr>
      <w:r w:rsidRPr="00C91713">
        <w:rPr>
          <w:noProof/>
        </w:rPr>
        <w:t>Vancouver</w:t>
      </w:r>
      <w:r w:rsidR="00967F8A" w:rsidRPr="00C91713">
        <w:rPr>
          <w:noProof/>
        </w:rPr>
        <w:t>,</w:t>
      </w:r>
      <w:r w:rsidRPr="00C91713">
        <w:rPr>
          <w:noProof/>
        </w:rPr>
        <w:t xml:space="preserve"> Canada,</w:t>
      </w:r>
      <w:r w:rsidR="00967F8A" w:rsidRPr="00C91713">
        <w:rPr>
          <w:noProof/>
        </w:rPr>
        <w:t xml:space="preserve"> </w:t>
      </w:r>
      <w:r w:rsidR="005A561A" w:rsidRPr="00C91713">
        <w:rPr>
          <w:noProof/>
        </w:rPr>
        <w:t>22</w:t>
      </w:r>
      <w:r w:rsidR="005A561A" w:rsidRPr="00C91713">
        <w:rPr>
          <w:noProof/>
          <w:vertAlign w:val="superscript"/>
        </w:rPr>
        <w:t>nd</w:t>
      </w:r>
      <w:r w:rsidR="005A561A" w:rsidRPr="00C91713">
        <w:rPr>
          <w:noProof/>
        </w:rPr>
        <w:t xml:space="preserve"> – 26</w:t>
      </w:r>
      <w:r w:rsidR="005A561A" w:rsidRPr="00C91713">
        <w:rPr>
          <w:noProof/>
          <w:vertAlign w:val="superscript"/>
        </w:rPr>
        <w:t>th</w:t>
      </w:r>
      <w:r w:rsidR="005A561A" w:rsidRPr="00C91713">
        <w:rPr>
          <w:noProof/>
        </w:rPr>
        <w:t xml:space="preserve"> </w:t>
      </w:r>
      <w:r w:rsidRPr="00C91713">
        <w:rPr>
          <w:noProof/>
        </w:rPr>
        <w:t>January</w:t>
      </w:r>
      <w:r w:rsidR="00B76088" w:rsidRPr="00C91713">
        <w:rPr>
          <w:noProof/>
          <w:vertAlign w:val="superscript"/>
        </w:rPr>
        <w:t xml:space="preserve"> </w:t>
      </w:r>
      <w:r w:rsidR="00967F8A" w:rsidRPr="00C91713">
        <w:rPr>
          <w:noProof/>
        </w:rPr>
        <w:t>201</w:t>
      </w:r>
      <w:r w:rsidRPr="00C91713">
        <w:rPr>
          <w:noProof/>
        </w:rPr>
        <w:t xml:space="preserve">8         </w:t>
      </w:r>
      <w:r w:rsidR="005A561A" w:rsidRPr="00C91713">
        <w:rPr>
          <w:noProof/>
        </w:rPr>
        <w:t xml:space="preserve">       </w:t>
      </w:r>
      <w:r w:rsidRPr="00C91713">
        <w:rPr>
          <w:noProof/>
        </w:rPr>
        <w:t xml:space="preserve"> (Resubmission of R2-1713594)           </w:t>
      </w:r>
    </w:p>
    <w:p w14:paraId="3401E9E8" w14:textId="77777777" w:rsidR="00452041" w:rsidRPr="00452041" w:rsidRDefault="00452041" w:rsidP="00A176D6">
      <w:pPr>
        <w:pStyle w:val="3GPPHeader"/>
        <w:rPr>
          <w:sz w:val="22"/>
          <w:szCs w:val="22"/>
          <w:highlight w:val="yellow"/>
          <w:lang w:val="en-US"/>
        </w:rPr>
      </w:pPr>
    </w:p>
    <w:p w14:paraId="55EA3377" w14:textId="265A8901"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794D9C" w:rsidRPr="00C91713">
        <w:rPr>
          <w:sz w:val="22"/>
          <w:szCs w:val="22"/>
          <w:lang w:val="en-US"/>
        </w:rPr>
        <w:t>10.</w:t>
      </w:r>
      <w:r w:rsidR="00C91713" w:rsidRPr="00C91713">
        <w:rPr>
          <w:sz w:val="22"/>
          <w:szCs w:val="22"/>
          <w:lang w:val="en-US"/>
        </w:rPr>
        <w:t>2.9</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E66F7D0"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framework </w:t>
      </w:r>
      <w:r w:rsidR="00302082">
        <w:t>for EN-DC and NR standalone</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4E7844E5"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55719E">
        <w:t xml:space="preserve">. Such relations are used to establish connections between </w:t>
      </w:r>
      <w:r w:rsidR="00A503B4">
        <w:t>eNodeBs</w:t>
      </w:r>
      <w:r w:rsidR="0055719E">
        <w:t xml:space="preserve">, support mobility, load balancing, dual connectivity, etc., and ANR </w:t>
      </w:r>
      <w:proofErr w:type="gramStart"/>
      <w:r w:rsidR="0055719E">
        <w:t>is seen as</w:t>
      </w:r>
      <w:proofErr w:type="gramEnd"/>
      <w:r w:rsidR="0055719E">
        <w:t xml:space="preserve"> significantly reducing the planning and operation costs for operators</w:t>
      </w:r>
      <w:r w:rsidR="009161BE">
        <w:t xml:space="preserve"> </w:t>
      </w:r>
      <w:r w:rsidR="009161BE">
        <w:fldChar w:fldCharType="begin"/>
      </w:r>
      <w:r w:rsidR="009161BE">
        <w:instrText xml:space="preserve"> REF _Ref456255044 \r \h </w:instrText>
      </w:r>
      <w:r w:rsidR="009161BE">
        <w:fldChar w:fldCharType="separate"/>
      </w:r>
      <w:r w:rsidR="009161BE">
        <w:t>[1]</w:t>
      </w:r>
      <w:r w:rsidR="009161BE">
        <w:fldChar w:fldCharType="end"/>
      </w:r>
      <w:r w:rsidR="0055719E">
        <w:t xml:space="preserve">.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110EEE44" w:rsidR="00AA0139" w:rsidRPr="00AA0139" w:rsidRDefault="007A164C" w:rsidP="00AC5FFA">
      <w:pPr>
        <w:pStyle w:val="Heading2"/>
      </w:pPr>
      <w:r>
        <w:t>I</w:t>
      </w:r>
      <w:r w:rsidR="00AA0139">
        <w:t xml:space="preserve">dentifiers </w:t>
      </w:r>
      <w:r>
        <w:t xml:space="preserve">for ANR </w:t>
      </w:r>
      <w:r w:rsidR="00622502">
        <w:t>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eNB </w:t>
      </w:r>
      <w:proofErr w:type="gramStart"/>
      <w:r>
        <w:t>is able to</w:t>
      </w:r>
      <w:proofErr w:type="gramEnd"/>
      <w:r>
        <w:t xml:space="preserve"> identify that a given PCI belongs to a neighbour eNB in order to trigger a handover preparation procedure. </w:t>
      </w:r>
      <w:proofErr w:type="gramStart"/>
      <w:r>
        <w:t>In order to</w:t>
      </w:r>
      <w:proofErr w:type="gramEnd"/>
      <w:r>
        <w:t xml:space="preserve">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6AC029AF"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rsidR="009161BE">
        <w:t xml:space="preserve">Figure </w:t>
      </w:r>
      <w:r w:rsidR="009161BE">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9161BE">
        <w:t xml:space="preserve"> </w:t>
      </w:r>
      <w:r w:rsidR="009161BE">
        <w:fldChar w:fldCharType="begin"/>
      </w:r>
      <w:r w:rsidR="009161BE">
        <w:instrText xml:space="preserve"> REF _Ref503340062 \r \h </w:instrText>
      </w:r>
      <w:r w:rsidR="009161BE">
        <w:fldChar w:fldCharType="separate"/>
      </w:r>
      <w:r w:rsidR="009161BE">
        <w:t>[2]</w:t>
      </w:r>
      <w:r w:rsidR="009161BE">
        <w:fldChar w:fldCharType="end"/>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78E0C5B0"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sidR="009161BE">
        <w:rPr>
          <w:noProof/>
        </w:rPr>
        <w:t>1</w:t>
      </w:r>
      <w:r>
        <w:fldChar w:fldCharType="end"/>
      </w:r>
      <w:bookmarkEnd w:id="2"/>
      <w:r>
        <w:t xml:space="preserve">. Automatic Neighbour Relation Function in LTE </w:t>
      </w:r>
      <w:r w:rsidR="009161BE">
        <w:fldChar w:fldCharType="begin"/>
      </w:r>
      <w:r w:rsidR="009161BE">
        <w:instrText xml:space="preserve"> REF _Ref503340062 \r \h </w:instrText>
      </w:r>
      <w:r w:rsidR="009161BE">
        <w:fldChar w:fldCharType="separate"/>
      </w:r>
      <w:r w:rsidR="009161BE">
        <w:t>[2]</w:t>
      </w:r>
      <w:r w:rsidR="009161BE">
        <w:fldChar w:fldCharType="end"/>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proofErr w:type="gramStart"/>
      <w:r w:rsidR="00A87C47" w:rsidRPr="00A87C47">
        <w:rPr>
          <w:b/>
        </w:rPr>
        <w:t>in order to</w:t>
      </w:r>
      <w:proofErr w:type="gramEnd"/>
      <w:r w:rsidR="00A87C47" w:rsidRPr="00A87C47">
        <w:rPr>
          <w:b/>
        </w:rPr>
        <w:t xml:space="preserve">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3C0444C9" w14:textId="77777777" w:rsidR="00302082" w:rsidRDefault="00302082" w:rsidP="00A87C47">
      <w:pPr>
        <w:pStyle w:val="BodyText"/>
      </w:pPr>
    </w:p>
    <w:p w14:paraId="11870336" w14:textId="648E23E7"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4F10680" w:rsidR="00BB4C80" w:rsidRDefault="007A164C" w:rsidP="00A87C47">
      <w:pPr>
        <w:pStyle w:val="BodyText"/>
      </w:pPr>
      <w:r>
        <w:t xml:space="preserve">The measurement reports based on SS Blocks including cell measurement results will likely be associated to local identifiers (like the LTE PCIs) </w:t>
      </w:r>
      <w:r w:rsidR="00BB4C80">
        <w:t>that the UE has measured.</w:t>
      </w:r>
      <w:r w:rsidR="00F94784">
        <w:t xml:space="preserve"> Based on such a measurement report, if the serving </w:t>
      </w:r>
      <w:r>
        <w:t xml:space="preserve">gNodeB </w:t>
      </w:r>
      <w:r w:rsidR="00F94784">
        <w:t>do</w:t>
      </w:r>
      <w:r>
        <w:t>es</w:t>
      </w:r>
      <w:r w:rsidR="00F94784">
        <w:t xml:space="preserve"> not </w:t>
      </w:r>
      <w:r>
        <w:t xml:space="preserve">recognize </w:t>
      </w:r>
      <w:r w:rsidR="00F94784">
        <w:t xml:space="preserve">the reported PCI in its neighbour relation list, then the serving </w:t>
      </w:r>
      <w:r>
        <w:t xml:space="preserve">gNodeB </w:t>
      </w:r>
      <w:r w:rsidR="00F94784">
        <w:t xml:space="preserve">could reuse the </w:t>
      </w:r>
      <w:r w:rsidR="008248BD" w:rsidRPr="0039042B">
        <w:t>globally unique identifier</w:t>
      </w:r>
      <w:r w:rsidR="00B756D5">
        <w:t>, TAC and PLMN ID(s)</w:t>
      </w:r>
      <w:r w:rsidR="00F94784">
        <w:t xml:space="preserve"> measurement and reporting procedure for the UE, as listed in LTE, for NR neighbour relation establishment also. </w:t>
      </w:r>
    </w:p>
    <w:p w14:paraId="5FC375ED" w14:textId="689A863E" w:rsidR="00E4782A" w:rsidRPr="003065F6" w:rsidRDefault="00BB4C80">
      <w:pPr>
        <w:pStyle w:val="BodyText"/>
        <w:numPr>
          <w:ilvl w:val="0"/>
          <w:numId w:val="25"/>
        </w:numPr>
        <w:ind w:left="1560" w:hanging="1560"/>
        <w:rPr>
          <w:b/>
        </w:rPr>
      </w:pPr>
      <w:r>
        <w:rPr>
          <w:b/>
        </w:rPr>
        <w:t xml:space="preserve">The RRM measurements on </w:t>
      </w:r>
      <w:r w:rsidR="007A164C">
        <w:rPr>
          <w:b/>
        </w:rPr>
        <w:t xml:space="preserve">SS Blocks </w:t>
      </w:r>
      <w:r>
        <w:rPr>
          <w:b/>
        </w:rPr>
        <w:t>are expected to be reported as per the measured PCI values by the UE</w:t>
      </w:r>
      <w:r w:rsidRPr="00A87C47">
        <w:rPr>
          <w:b/>
        </w:rPr>
        <w:t>.</w:t>
      </w:r>
    </w:p>
    <w:p w14:paraId="56F8416F" w14:textId="2C790932" w:rsidR="00F94784" w:rsidRDefault="00F94784" w:rsidP="00F94784">
      <w:pPr>
        <w:pStyle w:val="BodyText"/>
        <w:numPr>
          <w:ilvl w:val="0"/>
          <w:numId w:val="25"/>
        </w:numPr>
        <w:ind w:left="1560" w:hanging="1560"/>
        <w:rPr>
          <w:b/>
        </w:rPr>
      </w:pPr>
      <w:r>
        <w:rPr>
          <w:b/>
        </w:rPr>
        <w:t xml:space="preserve">The neighbour relation establishment procedure based on the UE reporting the </w:t>
      </w:r>
      <w:r w:rsidR="008248BD">
        <w:rPr>
          <w:b/>
        </w:rPr>
        <w:t>globally unique identifier</w:t>
      </w:r>
      <w:r w:rsidR="00B756D5">
        <w:rPr>
          <w:b/>
        </w:rPr>
        <w:t>, TAC and all available PLMN ID(s)</w:t>
      </w:r>
      <w:r>
        <w:rPr>
          <w:b/>
        </w:rPr>
        <w:t xml:space="preserve"> of the unknown cell as listed in LTE can be re-used for NR also</w:t>
      </w:r>
      <w:r w:rsidRPr="00A87C47">
        <w:rPr>
          <w:b/>
        </w:rPr>
        <w:t>.</w:t>
      </w:r>
    </w:p>
    <w:p w14:paraId="636D02DA" w14:textId="127482BA"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 xml:space="preserve">However, this has not been agreed yet. It can be discussed further </w:t>
      </w:r>
      <w:r w:rsidR="00C81E56">
        <w:lastRenderedPageBreak/>
        <w:t>as to how is the GID is structured (number of bits, what sub-identifiers does it encompass in what position like PLMN ID, CID etc.) in NR and if it is of similar nature as ECGI of LTE or not.</w:t>
      </w:r>
      <w:r w:rsidR="00F7704B">
        <w:t xml:space="preserve"> </w:t>
      </w:r>
      <w:r w:rsidRPr="002176CE">
        <w:t xml:space="preserve"> </w:t>
      </w:r>
    </w:p>
    <w:p w14:paraId="2DC69903" w14:textId="76A9C1A9" w:rsidR="00C81E56"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6977782A" w14:textId="542F1E7C" w:rsidR="00C80623" w:rsidRDefault="00C80623" w:rsidP="00A15DFC">
      <w:pPr>
        <w:pStyle w:val="BodyText"/>
        <w:rPr>
          <w:b/>
        </w:rPr>
      </w:pPr>
    </w:p>
    <w:p w14:paraId="050012E1" w14:textId="4A6CFDB6" w:rsidR="00C80623" w:rsidRDefault="00C80623" w:rsidP="00C80623">
      <w:pPr>
        <w:pStyle w:val="BodyText"/>
      </w:pPr>
      <w:r>
        <w:t xml:space="preserve">In </w:t>
      </w:r>
      <w:r w:rsidRPr="00A336A5">
        <w:t xml:space="preserve">RAN WG2 #98-Ad Hoc </w:t>
      </w:r>
      <w:r>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26B06924" w14:textId="2F558488" w:rsidR="00C80623"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gNodeB (either for SCG addition or SCG change) and to NR Standalone case, where the NG-RAN configures the UE. In </w:t>
      </w:r>
      <w:r w:rsidRPr="00D56529">
        <w:t>R2-1710839</w:t>
      </w:r>
      <w:r>
        <w:t xml:space="preserve"> (</w:t>
      </w:r>
      <w:r w:rsidRPr="00D56529">
        <w:t>Summary of email discussion [99#</w:t>
      </w:r>
      <w:proofErr w:type="gramStart"/>
      <w:r w:rsidRPr="00D56529">
        <w:t>32][</w:t>
      </w:r>
      <w:proofErr w:type="gramEnd"/>
      <w:r w:rsidRPr="00D56529">
        <w:t>NR] TP on RRM</w:t>
      </w:r>
      <w:r>
        <w:t>), companies expressed that measurement configuration in NR should be used for CGI reporting, although changes in the LTE ASN.1 structure are foreseen. Hence, the following is proposed:</w:t>
      </w:r>
    </w:p>
    <w:p w14:paraId="144D47CA" w14:textId="77777777" w:rsidR="00C80623" w:rsidRPr="00C81E56" w:rsidRDefault="00C80623" w:rsidP="00A15DFC">
      <w:pPr>
        <w:pStyle w:val="BodyText"/>
        <w:rPr>
          <w:b/>
        </w:rPr>
      </w:pPr>
    </w:p>
    <w:p w14:paraId="6148EAC2" w14:textId="284BCA20" w:rsidR="00A0792F" w:rsidRPr="00C81E56" w:rsidRDefault="00C80623" w:rsidP="00C80623">
      <w:pPr>
        <w:pStyle w:val="Proposal"/>
      </w:pPr>
      <w:r>
        <w:rPr>
          <w:lang w:val="en-US"/>
        </w:rPr>
        <w:t xml:space="preserve">To support ANR across NR cells, as </w:t>
      </w:r>
      <w:r w:rsidR="00F94784">
        <w:rPr>
          <w:lang w:val="en-US"/>
        </w:rPr>
        <w:t xml:space="preserve">in LTE, </w:t>
      </w:r>
      <w:r>
        <w:rPr>
          <w:lang w:val="en-US"/>
        </w:rPr>
        <w:t xml:space="preserve">NG-RAN </w:t>
      </w:r>
      <w:r w:rsidR="007A164C">
        <w:rPr>
          <w:lang w:val="en-US"/>
        </w:rPr>
        <w:t xml:space="preserve">can configure the UE </w:t>
      </w:r>
      <w:r w:rsidR="00F94784">
        <w:rPr>
          <w:lang w:val="en-US"/>
        </w:rPr>
        <w:t xml:space="preserve">to read and report </w:t>
      </w:r>
      <w:r>
        <w:rPr>
          <w:lang w:val="en-US"/>
        </w:rPr>
        <w:t xml:space="preserve">NR </w:t>
      </w:r>
      <w:r w:rsidR="00F94784">
        <w:rPr>
          <w:lang w:val="en-US"/>
        </w:rPr>
        <w:t xml:space="preserve">neighboring cell’s </w:t>
      </w:r>
      <w:r w:rsidR="00C81E56">
        <w:rPr>
          <w:lang w:val="en-US"/>
        </w:rPr>
        <w:t>Global identifier</w:t>
      </w:r>
      <w:r w:rsidR="006952D7">
        <w:rPr>
          <w:lang w:val="en-US"/>
        </w:rPr>
        <w:t>(s)</w:t>
      </w:r>
      <w:r w:rsidR="00C81E56">
        <w:rPr>
          <w:lang w:val="en-US"/>
        </w:rPr>
        <w:t xml:space="preserve"> (GID)</w:t>
      </w:r>
      <w:r w:rsidR="008248BD">
        <w:rPr>
          <w:lang w:val="en-US"/>
        </w:rPr>
        <w:t>, TAC</w:t>
      </w:r>
      <w:r w:rsidR="006952D7">
        <w:rPr>
          <w:lang w:val="en-US"/>
        </w:rPr>
        <w:t>(s)</w:t>
      </w:r>
      <w:r w:rsidR="008248BD">
        <w:rPr>
          <w:lang w:val="en-US"/>
        </w:rPr>
        <w:t xml:space="preserve"> and all available PLMN ID(s)</w:t>
      </w:r>
      <w:r w:rsidR="00F97F0A">
        <w:rPr>
          <w:lang w:val="en-US"/>
        </w:rPr>
        <w:t xml:space="preserve"> to aid neighbor relation establishment procedure</w:t>
      </w:r>
      <w:r w:rsidR="00F94784">
        <w:rPr>
          <w:lang w:val="en-US"/>
        </w:rPr>
        <w:t>.</w:t>
      </w:r>
      <w:r>
        <w:rPr>
          <w:lang w:val="en-US"/>
        </w:rPr>
        <w:t xml:space="preserve"> FFS structure of </w:t>
      </w:r>
      <w:r w:rsidRPr="00C80623">
        <w:rPr>
          <w:lang w:val="en-US"/>
        </w:rPr>
        <w:t>GID is same as the structure of ECGI in LTE</w:t>
      </w:r>
      <w:r>
        <w:rPr>
          <w:lang w:val="en-US"/>
        </w:rPr>
        <w:t>.</w:t>
      </w:r>
    </w:p>
    <w:p w14:paraId="0E4C4508" w14:textId="49CF151A" w:rsidR="00951030" w:rsidRPr="00A15DFC" w:rsidRDefault="00C80623" w:rsidP="00951030">
      <w:pPr>
        <w:pStyle w:val="Proposal"/>
      </w:pPr>
      <w:r>
        <w:rPr>
          <w:lang w:val="en-US"/>
        </w:rPr>
        <w:t xml:space="preserve">To support </w:t>
      </w:r>
      <w:r w:rsidR="00951030">
        <w:rPr>
          <w:lang w:val="en-US"/>
        </w:rPr>
        <w:t xml:space="preserve">LTE IRAT ANR procedure </w:t>
      </w:r>
      <w:r>
        <w:rPr>
          <w:lang w:val="en-US"/>
        </w:rPr>
        <w:t xml:space="preserve">for NR cells, including EN-DC, E-UTRAN can configure the UE to </w:t>
      </w:r>
      <w:r w:rsidR="00951030">
        <w:rPr>
          <w:lang w:val="en-US"/>
        </w:rPr>
        <w:t>read and report neighboring NR cell’s Global identifier</w:t>
      </w:r>
      <w:r w:rsidR="006952D7">
        <w:rPr>
          <w:lang w:val="en-US"/>
        </w:rPr>
        <w:t>(s)</w:t>
      </w:r>
      <w:r w:rsidR="00951030">
        <w:rPr>
          <w:lang w:val="en-US"/>
        </w:rPr>
        <w:t xml:space="preserve"> (GID), TAC</w:t>
      </w:r>
      <w:r w:rsidR="006952D7">
        <w:rPr>
          <w:lang w:val="en-US"/>
        </w:rPr>
        <w:t>(s)</w:t>
      </w:r>
      <w:r w:rsidR="00951030">
        <w:rPr>
          <w:lang w:val="en-US"/>
        </w:rPr>
        <w:t xml:space="preserve"> and all available PLMN ID(s) to aid neighbor relation establishment.</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7383CAC7" w:rsidR="00C80623" w:rsidRPr="00D56529" w:rsidRDefault="00C80623" w:rsidP="00C80623">
      <w:pPr>
        <w:pStyle w:val="Proposal"/>
      </w:pPr>
      <w:r>
        <w:rPr>
          <w:lang w:val="en-US"/>
        </w:rPr>
        <w:t>NG-RAN measurement configuration (defined in 38.331) should be used to support CGI reporting.</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proofErr w:type="gramStart"/>
      <w:r w:rsidRPr="00A87C47">
        <w:rPr>
          <w:b/>
        </w:rPr>
        <w:t>in order to</w:t>
      </w:r>
      <w:proofErr w:type="gramEnd"/>
      <w:r w:rsidRPr="00A87C47">
        <w:rPr>
          <w:b/>
        </w:rPr>
        <w:t xml:space="preserve">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72A317E0" w14:textId="68A39304" w:rsidR="00563637" w:rsidRDefault="00563637" w:rsidP="0039042B">
      <w:pPr>
        <w:pStyle w:val="BodyText"/>
        <w:numPr>
          <w:ilvl w:val="0"/>
          <w:numId w:val="40"/>
        </w:numPr>
        <w:ind w:left="1701" w:hanging="1701"/>
        <w:rPr>
          <w:b/>
        </w:rPr>
      </w:pPr>
      <w:r>
        <w:rPr>
          <w:b/>
        </w:rPr>
        <w:lastRenderedPageBreak/>
        <w:t xml:space="preserve">The neighbour relation establishment procedure based on the UE reporting the </w:t>
      </w:r>
      <w:r w:rsidR="008248BD">
        <w:rPr>
          <w:b/>
        </w:rPr>
        <w:t xml:space="preserve">globally unique </w:t>
      </w:r>
      <w:proofErr w:type="gramStart"/>
      <w:r w:rsidR="008248BD">
        <w:rPr>
          <w:b/>
        </w:rPr>
        <w:t>identifier ,</w:t>
      </w:r>
      <w:proofErr w:type="gramEnd"/>
      <w:r w:rsidR="008248BD">
        <w:rPr>
          <w:b/>
        </w:rPr>
        <w:t xml:space="preserve"> TAC and all available PLMN ID(s) </w:t>
      </w:r>
      <w:r>
        <w:rPr>
          <w:b/>
        </w:rPr>
        <w:t>of the unknown cell as listed in LTE can be re-used for NR also</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76DEB333" w14:textId="77777777" w:rsidR="00A15DFC" w:rsidRPr="00A15DFC" w:rsidRDefault="00A15DFC" w:rsidP="00311F3F">
      <w:pPr>
        <w:pStyle w:val="BodyText"/>
        <w:ind w:left="1710" w:hanging="1710"/>
        <w:rPr>
          <w:b/>
        </w:rPr>
      </w:pPr>
      <w:r w:rsidRPr="00A15DFC">
        <w:rPr>
          <w:b/>
        </w:rPr>
        <w:t>Proposal 1</w:t>
      </w:r>
      <w:r w:rsidRPr="00A15DFC">
        <w:rPr>
          <w:b/>
        </w:rPr>
        <w:tab/>
        <w:t xml:space="preserve">To support ANR across NR cells, as in LTE, NG-RAN can configure the UE to read and report NR </w:t>
      </w:r>
      <w:proofErr w:type="spellStart"/>
      <w:r w:rsidRPr="00A15DFC">
        <w:rPr>
          <w:b/>
        </w:rPr>
        <w:t>neighboring</w:t>
      </w:r>
      <w:proofErr w:type="spellEnd"/>
      <w:r w:rsidRPr="00A15DFC">
        <w:rPr>
          <w:b/>
        </w:rPr>
        <w:t xml:space="preserve"> cell’s Global identifier(s) (GID), TAC(s) and all available PLMN ID(s) to aid </w:t>
      </w:r>
      <w:proofErr w:type="spellStart"/>
      <w:r w:rsidRPr="00A15DFC">
        <w:rPr>
          <w:b/>
        </w:rPr>
        <w:t>neighbor</w:t>
      </w:r>
      <w:proofErr w:type="spellEnd"/>
      <w:r w:rsidRPr="00A15DFC">
        <w:rPr>
          <w:b/>
        </w:rPr>
        <w:t xml:space="preserve"> relation establishment procedure. FFS structure of GID is same as the structure of ECGI in LTE.</w:t>
      </w:r>
    </w:p>
    <w:p w14:paraId="588DA61C" w14:textId="77777777" w:rsidR="00A15DFC" w:rsidRPr="00A15DFC" w:rsidRDefault="00A15DFC" w:rsidP="00311F3F">
      <w:pPr>
        <w:pStyle w:val="BodyText"/>
        <w:ind w:left="1710" w:hanging="1710"/>
        <w:rPr>
          <w:b/>
        </w:rPr>
      </w:pPr>
      <w:r w:rsidRPr="00A15DFC">
        <w:rPr>
          <w:b/>
        </w:rPr>
        <w:t>Proposal 2</w:t>
      </w:r>
      <w:r w:rsidRPr="00A15DFC">
        <w:rPr>
          <w:b/>
        </w:rPr>
        <w:tab/>
        <w:t xml:space="preserve">To support LTE IRAT ANR procedure for NR cells, including EN-DC, E-UTRAN can configure the UE to read and report </w:t>
      </w:r>
      <w:proofErr w:type="spellStart"/>
      <w:r w:rsidRPr="00A15DFC">
        <w:rPr>
          <w:b/>
        </w:rPr>
        <w:t>neighboring</w:t>
      </w:r>
      <w:proofErr w:type="spellEnd"/>
      <w:r w:rsidRPr="00A15DFC">
        <w:rPr>
          <w:b/>
        </w:rPr>
        <w:t xml:space="preserve"> NR cell’s Global identifier(s) (GID), TAC(s) and all available PLMN ID(s) to aid </w:t>
      </w:r>
      <w:proofErr w:type="spellStart"/>
      <w:r w:rsidRPr="00A15DFC">
        <w:rPr>
          <w:b/>
        </w:rPr>
        <w:t>neighbor</w:t>
      </w:r>
      <w:proofErr w:type="spellEnd"/>
      <w:r w:rsidRPr="00A15DFC">
        <w:rPr>
          <w:b/>
        </w:rPr>
        <w:t xml:space="preserve"> relation establishment.</w:t>
      </w:r>
    </w:p>
    <w:p w14:paraId="4D2A604E" w14:textId="77777777" w:rsidR="00A15DFC" w:rsidRPr="00A15DFC" w:rsidRDefault="00A15DFC" w:rsidP="00311F3F">
      <w:pPr>
        <w:pStyle w:val="BodyText"/>
        <w:ind w:left="1710" w:hanging="1710"/>
        <w:rPr>
          <w:b/>
        </w:rPr>
      </w:pPr>
      <w:r w:rsidRPr="00A15DFC">
        <w:rPr>
          <w:b/>
        </w:rPr>
        <w:t>Proposal 3</w:t>
      </w:r>
      <w:r w:rsidRPr="00A15DFC">
        <w:rPr>
          <w:b/>
        </w:rPr>
        <w:tab/>
        <w:t>E-UTRAN measurement configuration (defined in 36.331) should be used to support CGI reporting.</w:t>
      </w:r>
    </w:p>
    <w:p w14:paraId="170C26E4" w14:textId="6DBD6BE5" w:rsidR="00A15DFC" w:rsidRPr="00A15DFC" w:rsidRDefault="00A15DFC" w:rsidP="00311F3F">
      <w:pPr>
        <w:pStyle w:val="BodyText"/>
        <w:ind w:left="1710" w:hanging="1710"/>
        <w:rPr>
          <w:b/>
        </w:rPr>
      </w:pPr>
      <w:r w:rsidRPr="00A15DFC">
        <w:rPr>
          <w:b/>
        </w:rPr>
        <w:t>Proposal 4</w:t>
      </w:r>
      <w:r w:rsidRPr="00A15DFC">
        <w:rPr>
          <w:b/>
        </w:rPr>
        <w:tab/>
        <w:t>NG-RAN measurement configuration (defined in 38.331) should be used to support CGI reporting.</w:t>
      </w:r>
    </w:p>
    <w:p w14:paraId="4F3D1ECA" w14:textId="77777777" w:rsidR="00F507D1" w:rsidRPr="00CE0424" w:rsidRDefault="00F507D1" w:rsidP="00CE0424">
      <w:pPr>
        <w:pStyle w:val="Heading1"/>
      </w:pPr>
      <w:bookmarkStart w:id="3" w:name="_In-sequence_SDU_delivery"/>
      <w:bookmarkEnd w:id="3"/>
      <w:r w:rsidRPr="00CE0424">
        <w:t>References</w:t>
      </w:r>
    </w:p>
    <w:p w14:paraId="6DD41269" w14:textId="653D32FB" w:rsidR="009E37F1" w:rsidRPr="009E37F1" w:rsidRDefault="009E37F1" w:rsidP="009E37F1">
      <w:pPr>
        <w:pStyle w:val="Reference"/>
        <w:spacing w:line="276" w:lineRule="auto"/>
        <w:rPr>
          <w:rFonts w:cs="Arial"/>
        </w:rPr>
      </w:pPr>
      <w:bookmarkStart w:id="4" w:name="_Ref456255044"/>
      <w:bookmarkStart w:id="5" w:name="_Ref456254943"/>
      <w:bookmarkStart w:id="6" w:name="_Ref456256904"/>
      <w:bookmarkStart w:id="7" w:name="_Ref455126129"/>
      <w:bookmarkStart w:id="8" w:name="_Ref174151459"/>
      <w:bookmarkStart w:id="9" w:name="_Ref189809556"/>
      <w:bookmarkStart w:id="10" w:name="_Ref458687908"/>
      <w:r w:rsidRPr="00313D3B">
        <w:rPr>
          <w:rFonts w:cs="Arial"/>
        </w:rPr>
        <w:t xml:space="preserve">A. </w:t>
      </w:r>
      <w:proofErr w:type="spellStart"/>
      <w:r w:rsidRPr="00313D3B">
        <w:rPr>
          <w:rFonts w:cs="Arial"/>
        </w:rPr>
        <w:t>Dahlén</w:t>
      </w:r>
      <w:proofErr w:type="spellEnd"/>
      <w:r w:rsidRPr="00313D3B">
        <w:rPr>
          <w:rFonts w:cs="Arial"/>
        </w:rPr>
        <w:t xml:space="preserve">, A. Johansson, F. Gunnarsson, J. Moe, T. </w:t>
      </w:r>
      <w:proofErr w:type="spellStart"/>
      <w:r w:rsidRPr="00313D3B">
        <w:rPr>
          <w:rFonts w:cs="Arial"/>
        </w:rPr>
        <w:t>Rimhagen</w:t>
      </w:r>
      <w:proofErr w:type="spellEnd"/>
      <w:r w:rsidRPr="00313D3B">
        <w:rPr>
          <w:rFonts w:cs="Arial"/>
        </w:rPr>
        <w:t>, H. Kallin</w:t>
      </w:r>
      <w:proofErr w:type="gramStart"/>
      <w:r w:rsidRPr="00313D3B">
        <w:rPr>
          <w:rFonts w:cs="Arial"/>
        </w:rPr>
        <w:t>, ”Evaluations</w:t>
      </w:r>
      <w:proofErr w:type="gramEnd"/>
      <w:r w:rsidRPr="00313D3B">
        <w:rPr>
          <w:rFonts w:cs="Arial"/>
        </w:rPr>
        <w:t xml:space="preserve"> of LTE Automatic </w:t>
      </w:r>
      <w:proofErr w:type="spellStart"/>
      <w:r w:rsidRPr="00313D3B">
        <w:rPr>
          <w:rFonts w:cs="Arial"/>
        </w:rPr>
        <w:t>Neighbor</w:t>
      </w:r>
      <w:proofErr w:type="spellEnd"/>
      <w:r w:rsidRPr="00313D3B">
        <w:rPr>
          <w:rFonts w:cs="Arial"/>
        </w:rPr>
        <w:t xml:space="preserve"> Relations”, in Proc. IWSON at VTC Spring, Budapest, Hungary, 2011.</w:t>
      </w:r>
      <w:bookmarkEnd w:id="4"/>
    </w:p>
    <w:p w14:paraId="77132D2E" w14:textId="4684C05A" w:rsidR="00081D62" w:rsidRPr="00313D3B" w:rsidRDefault="00081D62" w:rsidP="00081D62">
      <w:pPr>
        <w:pStyle w:val="Reference"/>
        <w:rPr>
          <w:rFonts w:cs="Arial"/>
        </w:rPr>
      </w:pPr>
      <w:bookmarkStart w:id="11" w:name="_Ref503340062"/>
      <w:r w:rsidRPr="00313D3B">
        <w:t>3GPP TS 36.300</w:t>
      </w:r>
      <w:r>
        <w:t xml:space="preserve"> V13.4.0 (2016-06), “Evolved Universal Terrestrial Radio Access (E-UTRA) and Evolved Universal Terrestrial Radio Access Network (E-UTRAN); Overall description”</w:t>
      </w:r>
      <w:bookmarkEnd w:id="5"/>
      <w:bookmarkEnd w:id="6"/>
      <w:bookmarkEnd w:id="7"/>
      <w:bookmarkEnd w:id="8"/>
      <w:bookmarkEnd w:id="9"/>
      <w:bookmarkEnd w:id="10"/>
      <w:bookmarkEnd w:id="11"/>
    </w:p>
    <w:sectPr w:rsidR="00081D62" w:rsidRPr="00313D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34D44" w14:textId="77777777" w:rsidR="006848E8" w:rsidRDefault="006848E8">
      <w:r>
        <w:separator/>
      </w:r>
    </w:p>
  </w:endnote>
  <w:endnote w:type="continuationSeparator" w:id="0">
    <w:p w14:paraId="483F0174" w14:textId="77777777" w:rsidR="006848E8" w:rsidRDefault="0068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1FD02F5"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13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13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EDE8B" w14:textId="77777777" w:rsidR="006848E8" w:rsidRDefault="006848E8">
      <w:r>
        <w:separator/>
      </w:r>
    </w:p>
  </w:footnote>
  <w:footnote w:type="continuationSeparator" w:id="0">
    <w:p w14:paraId="6488E711" w14:textId="77777777" w:rsidR="006848E8" w:rsidRDefault="0068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082"/>
    <w:rsid w:val="003021D5"/>
    <w:rsid w:val="0030256B"/>
    <w:rsid w:val="00303BD7"/>
    <w:rsid w:val="0030435A"/>
    <w:rsid w:val="0030501F"/>
    <w:rsid w:val="003065F6"/>
    <w:rsid w:val="00307BA1"/>
    <w:rsid w:val="003114F4"/>
    <w:rsid w:val="00311702"/>
    <w:rsid w:val="00311E82"/>
    <w:rsid w:val="00311F3F"/>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97E"/>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7447"/>
    <w:rsid w:val="00441A92"/>
    <w:rsid w:val="00444F56"/>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13"/>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3ECE"/>
    <w:rsid w:val="006848E8"/>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637"/>
    <w:rsid w:val="009C403E"/>
    <w:rsid w:val="009D1FE8"/>
    <w:rsid w:val="009D2AD4"/>
    <w:rsid w:val="009D2B94"/>
    <w:rsid w:val="009D4FF0"/>
    <w:rsid w:val="009D703C"/>
    <w:rsid w:val="009D718F"/>
    <w:rsid w:val="009E068F"/>
    <w:rsid w:val="009E14E0"/>
    <w:rsid w:val="009E1C05"/>
    <w:rsid w:val="009E35DB"/>
    <w:rsid w:val="009E37F1"/>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3A9"/>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330C"/>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5NUHHDQN7SK2-1476151046-14213</_dlc_DocId>
    <TaxCatchAll xmlns="d8762117-8292-4133-b1c7-eab5c6487cfd">
      <Value>10</Value>
      <Value>9</Value>
      <Value>8</Value>
      <Value>3</Value>
      <Value>1</Value>
    </TaxCatchAll>
    <_dlc_DocIdUrl xmlns="f166a696-7b5b-4ccd-9f0c-ffde0cceec81">
      <Url>https://ericsson.sharepoint.com/sites/star/_layouts/15/DocIdRedir.aspx?ID=5NUHHDQN7SK2-1476151046-14213</Url>
      <Description>5NUHHDQN7SK2-1476151046-14213</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4.xml><?xml version="1.0" encoding="utf-8"?>
<ds:datastoreItem xmlns:ds="http://schemas.openxmlformats.org/officeDocument/2006/customXml" ds:itemID="{095A1FF7-663F-480B-93A3-15E86A196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4A976513-39EA-4F06-96D7-6F02BC7EF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cp:lastModifiedBy>
  <cp:revision>3</cp:revision>
  <cp:lastPrinted>2016-08-03T08:58:00Z</cp:lastPrinted>
  <dcterms:created xsi:type="dcterms:W3CDTF">2018-01-12T05:42:00Z</dcterms:created>
  <dcterms:modified xsi:type="dcterms:W3CDTF">2018-01-12T05:43:00Z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90ed0f5d-3969-4788-a061-bb7b87f668fa</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